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中共浙江艺术职业学院委员会主题党日活动审批表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530"/>
        <w:gridCol w:w="1005"/>
        <w:gridCol w:w="457"/>
        <w:gridCol w:w="1553"/>
        <w:gridCol w:w="22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67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实有人数</w:t>
            </w:r>
          </w:p>
        </w:tc>
        <w:tc>
          <w:tcPr>
            <w:tcW w:w="42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拟参加人数</w:t>
            </w:r>
          </w:p>
        </w:tc>
        <w:tc>
          <w:tcPr>
            <w:tcW w:w="42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5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活动经费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  算</w:t>
            </w:r>
          </w:p>
        </w:tc>
        <w:tc>
          <w:tcPr>
            <w:tcW w:w="520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列支渠道</w:t>
            </w:r>
          </w:p>
        </w:tc>
        <w:tc>
          <w:tcPr>
            <w:tcW w:w="5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机关党员活动费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党费返还款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教工党员活动费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学生党员活动费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（内容）</w:t>
            </w:r>
          </w:p>
        </w:tc>
        <w:tc>
          <w:tcPr>
            <w:tcW w:w="67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（附活动方案）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（直属党支部）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3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3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校党委意见</w:t>
            </w:r>
          </w:p>
        </w:tc>
        <w:tc>
          <w:tcPr>
            <w:tcW w:w="673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分管（联系）领导：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注：此表适用于校内各级党组织，根据管理权限进行审批，超过二级管理权限和离杭开展活动的由校党委签批。</w:t>
      </w:r>
    </w:p>
    <w:p/>
    <w:sectPr>
      <w:pgSz w:w="11906" w:h="16838"/>
      <w:pgMar w:top="1270" w:right="1463" w:bottom="1270" w:left="1463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55313"/>
    <w:rsid w:val="60E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2019-04-23T08:46:00Z</dcterms:created>
  <dc:creator>Mr东1390794968</dc:creator>
  <cp:lastModifiedBy>Mr东1390794968</cp:lastModifiedBy>
  <dcterms:modified xsi:type="dcterms:W3CDTF">2019-04-23T08:46:23Z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